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第二批实质性产学研联盟建设概述</w:t>
      </w:r>
    </w:p>
    <w:p>
      <w:pPr>
        <w:ind w:firstLine="643" w:firstLineChars="200"/>
        <w:jc w:val="both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联盟名称</w:t>
      </w:r>
      <w:r>
        <w:rPr>
          <w:rFonts w:hint="eastAsia" w:ascii="楷体_GB2312" w:hAnsi="楷体_GB2312" w:eastAsia="楷体_GB2312" w:cs="楷体_GB2312"/>
          <w:lang w:val="en-US" w:eastAsia="zh-CN"/>
        </w:rPr>
        <w:t>：***************************</w:t>
      </w:r>
      <w:bookmarkStart w:id="0" w:name="_GoBack"/>
      <w:bookmarkEnd w:id="0"/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一、联盟简介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二、联盟盟主单位介绍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三、联盟成员单位及介绍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（建议包含产学研用金等各类创新资源，目前是否已经签订相关协议）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四、联盟体制机制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（一）联盟组织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形式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联盟运营预期资金投入情况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五、联盟预期开展的工作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（能够具体落实的）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六、预期取得成效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、经济效益、社会效益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PS：撰写材料过程中，请注意体现联盟的真实性、成长性、关联性、带动性、示范性、效应性。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真实性：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产学研联盟构建务求实效，严禁出现任何虚假建盟的情况。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成长性：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重点关注个联盟引领作用的发挥，强化内在机制的牵动，防止为获得政治资源拼凑联盟。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关联性：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联盟构建要紧密结合做好“三篇大文章”、创新链布局和“卡脖子”技术攻关。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带动性：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省市共同推动，省厅重点抓省级典型类、提升类联盟。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示范性：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发挥联盟示范引领作用，选树一批典型开展宣传推广。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  <w:t>效应性：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>联盟构建务求取得科技效益、经济效益、社会效益的实效。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E7C86"/>
    <w:rsid w:val="13DE7C86"/>
    <w:rsid w:val="21795C17"/>
    <w:rsid w:val="23587045"/>
    <w:rsid w:val="400D1126"/>
    <w:rsid w:val="726866F3"/>
    <w:rsid w:val="76C127DF"/>
    <w:rsid w:val="7E6D7902"/>
    <w:rsid w:val="7E6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2021-07-27T05:31:00Z</dcterms:created>
  <dc:creator>汤姆克鲁蛋</dc:creator>
  <cp:lastModifiedBy>汤姆克鲁蛋</cp:lastModifiedBy>
  <dcterms:modified xsi:type="dcterms:W3CDTF">2021-08-13T05:49:10Z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56A1C0C59EAA4C1F884B9FDE7CBAA8A7</vt:lpwstr>
  </property>
</Properties>
</file>